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Executive Summary</w:t>
      </w:r>
    </w:p>
    <w:p>
      <w:pPr>
        <w:pStyle w:val="3"/>
      </w:pPr>
      <w:r>
        <w:t>Market Analysis</w:t>
      </w:r>
    </w:p>
    <w:p>
      <w:pPr>
        <w:pStyle w:val="3"/>
      </w:pPr>
      <w:r>
        <w:t>Competitive Landscape</w:t>
      </w:r>
    </w:p>
    <w:p>
      <w:pPr>
        <w:pStyle w:val="4"/>
      </w:pPr>
      <w:r>
        <w:t>Key Findings</w:t>
      </w:r>
    </w:p>
    <w:p>
      <w:pPr>
        <w:pStyle w:val="5"/>
      </w:pPr>
      <w:r>
        <w:t>Supporting Data</w:t>
      </w:r>
    </w:p>
    <w:p>
      <w:pPr>
        <w:pStyle w:val="6"/>
      </w:pPr>
      <w:r>
        <w:t>Detail Point</w:t>
      </w:r>
    </w:p>
    <w:p>
      <w:pPr>
        <w:pStyle w:val="7"/>
      </w:pPr>
      <w:r>
        <w:t>Sub Detail</w:t>
      </w:r>
    </w:p>
    <w:p>
      <w:pPr>
        <w:pStyle w:val="8"/>
      </w:pPr>
      <w:r>
        <w:t>Further Detail</w:t>
      </w:r>
    </w:p>
    <w:p>
      <w:pPr>
        <w:pStyle w:val="9"/>
      </w:pPr>
      <w:r>
        <w:t>Lowest Level</w:t>
      </w:r>
    </w:p>
    <w:p>
      <w:pPr>
        <w:pStyle w:val="10"/>
      </w:pPr>
      <w:r>
        <w:t>Micro Detail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upperRoman"/>
      <w:pStyle w:val="2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upperLetter"/>
      <w:pStyle w:val="3"/>
      <w:suff w:val="space"/>
      <w:lvlText w:val="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pStyle w:val="4"/>
      <w:suff w:val="space"/>
      <w:lvlText w:val="%3."/>
      <w:lvlJc w:val="left"/>
      <w:pPr>
        <w:ind w:left="1080" w:hanging="360"/>
      </w:pPr>
      <w:rPr>
        <w:rFonts w:hint="default"/>
      </w:rPr>
    </w:lvl>
    <w:lvl w:ilvl="3" w:tentative="0">
      <w:start w:val="1"/>
      <w:numFmt w:val="lowerLetter"/>
      <w:pStyle w:val="5"/>
      <w:suff w:val="space"/>
      <w:lvlText w:val="%4."/>
      <w:lvlJc w:val="left"/>
      <w:pPr>
        <w:ind w:left="1440" w:hanging="360"/>
      </w:pPr>
      <w:rPr>
        <w:rFonts w:hint="default"/>
      </w:rPr>
    </w:lvl>
    <w:lvl w:ilvl="4" w:tentative="0">
      <w:start w:val="1"/>
      <w:numFmt w:val="decimal"/>
      <w:pStyle w:val="6"/>
      <w:suff w:val="space"/>
      <w:lvlText w:val="(%5)"/>
      <w:lvlJc w:val="left"/>
      <w:pPr>
        <w:ind w:left="1800" w:hanging="360"/>
      </w:pPr>
      <w:rPr>
        <w:rFonts w:hint="default"/>
      </w:rPr>
    </w:lvl>
    <w:lvl w:ilvl="5" w:tentative="0">
      <w:start w:val="1"/>
      <w:numFmt w:val="lowerLetter"/>
      <w:pStyle w:val="7"/>
      <w:suff w:val="space"/>
      <w:lvlText w:val="(%6)"/>
      <w:lvlJc w:val="left"/>
      <w:pPr>
        <w:ind w:left="2160" w:hanging="360"/>
      </w:pPr>
      <w:rPr>
        <w:rFonts w:hint="default"/>
      </w:rPr>
    </w:lvl>
    <w:lvl w:ilvl="6" w:tentative="0">
      <w:start w:val="1"/>
      <w:numFmt w:val="lowerRoman"/>
      <w:pStyle w:val="8"/>
      <w:suff w:val="space"/>
      <w:lvlText w:val="(%7)"/>
      <w:lvlJc w:val="left"/>
      <w:pPr>
        <w:ind w:left="2520" w:hanging="360"/>
      </w:pPr>
      <w:rPr>
        <w:rFonts w:hint="default"/>
      </w:rPr>
    </w:lvl>
    <w:lvl w:ilvl="7" w:tentative="0">
      <w:start w:val="1"/>
      <w:numFmt w:val="upperLetter"/>
      <w:pStyle w:val="9"/>
      <w:suff w:val="space"/>
      <w:lvlText w:val="(%8)"/>
      <w:lvlJc w:val="left"/>
      <w:pPr>
        <w:ind w:left="2880" w:hanging="360"/>
      </w:pPr>
      <w:rPr>
        <w:rFonts w:hint="default"/>
      </w:rPr>
    </w:lvl>
    <w:lvl w:ilvl="8" w:tentative="0">
      <w:start w:val="1"/>
      <w:numFmt w:val="upperRoman"/>
      <w:pStyle w:val="10"/>
      <w:suff w:val="space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